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皖西学院第二十届青年教师课堂教学评优赛评分表</w:t>
      </w:r>
    </w:p>
    <w:bookmarkEnd w:id="0"/>
    <w:p>
      <w:pPr>
        <w:widowControl/>
        <w:spacing w:line="400" w:lineRule="atLeast"/>
        <w:ind w:firstLine="140" w:firstLineChars="50"/>
        <w:rPr>
          <w:rFonts w:hint="eastAsia" w:ascii="黑体" w:eastAsia="黑体"/>
          <w:kern w:val="0"/>
          <w:sz w:val="24"/>
          <w:szCs w:val="24"/>
        </w:rPr>
      </w:pPr>
      <w:r>
        <w:rPr>
          <w:rFonts w:hint="eastAsia" w:ascii="仿宋_GB2312" w:cs="宋体"/>
          <w:kern w:val="0"/>
          <w:sz w:val="28"/>
          <w:szCs w:val="28"/>
        </w:rPr>
        <w:t>选手姓名</w:t>
      </w:r>
      <w:r>
        <w:rPr>
          <w:rFonts w:hint="eastAsia" w:ascii="仿宋_GB2312" w:cs="仿宋_GB2312"/>
          <w:kern w:val="0"/>
          <w:sz w:val="28"/>
          <w:szCs w:val="28"/>
        </w:rPr>
        <w:t>:</w:t>
      </w:r>
      <w:r>
        <w:rPr>
          <w:rFonts w:ascii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cs="仿宋_GB2312"/>
          <w:kern w:val="0"/>
          <w:sz w:val="28"/>
          <w:szCs w:val="28"/>
        </w:rPr>
        <w:t>参赛课程名称：</w:t>
      </w:r>
    </w:p>
    <w:tbl>
      <w:tblPr>
        <w:tblStyle w:val="2"/>
        <w:tblW w:w="83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16"/>
        <w:gridCol w:w="4965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教学设计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教学目标明确、思路清晰，反映立德树人要求。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文字表达准确、简洁，阐述清楚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分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内容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注重学术性</w:t>
            </w:r>
            <w:r>
              <w:rPr>
                <w:rFonts w:hint="eastAsia" w:ascii="仿宋_GB2312" w:eastAsia="仿宋_GB2312"/>
                <w:kern w:val="0"/>
                <w:sz w:val="24"/>
              </w:rPr>
              <w:t>和应用性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，内容充实，信息量大，</w:t>
            </w:r>
            <w:r>
              <w:rPr>
                <w:rFonts w:hint="eastAsia" w:ascii="仿宋_GB2312" w:eastAsia="仿宋_GB2312"/>
                <w:kern w:val="0"/>
                <w:sz w:val="24"/>
              </w:rPr>
              <w:t>渗透专业思想，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为教学目标服务。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组织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教学时间安排合理，课堂应变能力强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熟练、有效地运用信息化教学手段。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传授知识的同时树立正确的价值观，落实课程思政的理念。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教态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普通话讲课，语言清晰、流畅，语速节奏恰当。肢体语言运用合理、恰当，教态仪表自然得体，精神饱满，亲和力强。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特色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教学理念先进，</w:t>
            </w:r>
            <w:r>
              <w:rPr>
                <w:rFonts w:hint="eastAsia" w:ascii="仿宋_GB2312" w:eastAsia="仿宋_GB2312"/>
                <w:kern w:val="0"/>
                <w:sz w:val="24"/>
              </w:rPr>
              <w:t>能够有效支撑应用型人才培养目标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30"/>
    <w:rsid w:val="00044180"/>
    <w:rsid w:val="000E6FE9"/>
    <w:rsid w:val="00214567"/>
    <w:rsid w:val="00682AC9"/>
    <w:rsid w:val="00710DBE"/>
    <w:rsid w:val="007B0CA6"/>
    <w:rsid w:val="007F0930"/>
    <w:rsid w:val="00A6396D"/>
    <w:rsid w:val="00BA2430"/>
    <w:rsid w:val="153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91</Words>
  <Characters>522</Characters>
  <Lines>4</Lines>
  <Paragraphs>1</Paragraphs>
  <TotalTime>3</TotalTime>
  <ScaleCrop>false</ScaleCrop>
  <LinksUpToDate>false</LinksUpToDate>
  <CharactersWithSpaces>612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2024-10-09T05:04:00Z</dcterms:created>
  <dc:creator>蔡峻岭</dc:creator>
  <cp:lastModifiedBy>Administrator</cp:lastModifiedBy>
  <dcterms:modified xsi:type="dcterms:W3CDTF">2024-10-11T02:50:58Z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